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C1" w:rsidRDefault="00E136C1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LWS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Pr="00E136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revised </w:t>
      </w:r>
      <w:r w:rsidR="00780CFE">
        <w:rPr>
          <w:rFonts w:ascii="Arial" w:hAnsi="Arial" w:cs="Arial"/>
          <w:b/>
          <w:sz w:val="20"/>
          <w:szCs w:val="20"/>
        </w:rPr>
        <w:t xml:space="preserve">addendum </w:t>
      </w:r>
      <w:r>
        <w:rPr>
          <w:rFonts w:ascii="Arial" w:hAnsi="Arial" w:cs="Arial"/>
          <w:b/>
          <w:sz w:val="20"/>
          <w:szCs w:val="20"/>
        </w:rPr>
        <w:t xml:space="preserve">of the </w:t>
      </w:r>
      <w:r w:rsidRPr="00E136C1">
        <w:rPr>
          <w:rFonts w:ascii="Arial" w:hAnsi="Arial" w:cs="Arial"/>
          <w:b/>
          <w:sz w:val="20"/>
          <w:szCs w:val="20"/>
        </w:rPr>
        <w:t>Annual Report 2019</w:t>
      </w:r>
      <w:r>
        <w:rPr>
          <w:rFonts w:ascii="Arial" w:hAnsi="Arial" w:cs="Arial"/>
          <w:b/>
          <w:sz w:val="20"/>
          <w:szCs w:val="20"/>
        </w:rPr>
        <w:t xml:space="preserve"> published</w:t>
      </w:r>
      <w:r w:rsidRPr="00E136C1">
        <w:rPr>
          <w:rFonts w:ascii="Arial" w:hAnsi="Arial" w:cs="Arial"/>
          <w:b/>
          <w:sz w:val="20"/>
          <w:szCs w:val="20"/>
        </w:rPr>
        <w:t xml:space="preserve"> on March 12, 2020 </w:t>
      </w:r>
      <w:r>
        <w:rPr>
          <w:rFonts w:ascii="Arial" w:hAnsi="Arial" w:cs="Arial"/>
          <w:b/>
          <w:sz w:val="20"/>
          <w:szCs w:val="20"/>
        </w:rPr>
        <w:t>in accordance with</w:t>
      </w:r>
      <w:r w:rsidRPr="00E136C1">
        <w:rPr>
          <w:rFonts w:ascii="Arial" w:hAnsi="Arial" w:cs="Arial"/>
          <w:b/>
          <w:sz w:val="20"/>
          <w:szCs w:val="20"/>
        </w:rPr>
        <w:t xml:space="preserve"> Circular 155 of the Ministry of Finance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136C1">
        <w:rPr>
          <w:rFonts w:ascii="Arial" w:hAnsi="Arial" w:cs="Arial"/>
          <w:sz w:val="20"/>
          <w:szCs w:val="20"/>
        </w:rPr>
        <w:t>12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136C1" w:rsidRPr="00E136C1">
        <w:rPr>
          <w:rFonts w:ascii="Arial" w:hAnsi="Arial" w:cs="Arial"/>
          <w:sz w:val="20"/>
          <w:szCs w:val="20"/>
        </w:rPr>
        <w:t xml:space="preserve">Lao </w:t>
      </w:r>
      <w:proofErr w:type="spellStart"/>
      <w:r w:rsidR="00E136C1" w:rsidRPr="00E136C1">
        <w:rPr>
          <w:rFonts w:ascii="Arial" w:hAnsi="Arial" w:cs="Arial"/>
          <w:sz w:val="20"/>
          <w:szCs w:val="20"/>
        </w:rPr>
        <w:t>Cai</w:t>
      </w:r>
      <w:proofErr w:type="spellEnd"/>
      <w:r w:rsidR="00E136C1" w:rsidRPr="00E136C1">
        <w:rPr>
          <w:rFonts w:ascii="Arial" w:hAnsi="Arial" w:cs="Arial"/>
          <w:sz w:val="20"/>
          <w:szCs w:val="20"/>
        </w:rPr>
        <w:t xml:space="preserve"> Water Supply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E136C1" w:rsidRPr="00E136C1">
        <w:rPr>
          <w:rFonts w:ascii="Arial" w:hAnsi="Arial" w:cs="Arial"/>
          <w:sz w:val="20"/>
          <w:szCs w:val="20"/>
        </w:rPr>
        <w:t>revised annex of the Annual Report 2019 published on March 12, 2020 in accordance with Circular 155 of the Ministry of Finance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D3CD7" w:rsidRDefault="000D3CD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E136C1" w:rsidRPr="00E136C1">
        <w:rPr>
          <w:rFonts w:ascii="Arial" w:hAnsi="Arial" w:cs="Arial"/>
          <w:sz w:val="20"/>
          <w:szCs w:val="20"/>
        </w:rPr>
        <w:t>Amended and supplemented conte</w:t>
      </w:r>
      <w:bookmarkStart w:id="0" w:name="_GoBack"/>
      <w:bookmarkEnd w:id="0"/>
      <w:r w:rsidR="00E136C1" w:rsidRPr="00E136C1">
        <w:rPr>
          <w:rFonts w:ascii="Arial" w:hAnsi="Arial" w:cs="Arial"/>
          <w:sz w:val="20"/>
          <w:szCs w:val="20"/>
        </w:rPr>
        <w:t xml:space="preserve">nts: </w:t>
      </w:r>
    </w:p>
    <w:p w:rsidR="000D3CD7" w:rsidRDefault="000D3CD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136C1" w:rsidRPr="00E136C1">
        <w:rPr>
          <w:rFonts w:ascii="Arial" w:hAnsi="Arial" w:cs="Arial"/>
          <w:sz w:val="20"/>
          <w:szCs w:val="20"/>
        </w:rPr>
        <w:t xml:space="preserve">The situation of production and business </w:t>
      </w:r>
    </w:p>
    <w:p w:rsidR="000D3CD7" w:rsidRDefault="00E136C1" w:rsidP="00F903A5">
      <w:pPr>
        <w:jc w:val="both"/>
        <w:rPr>
          <w:rFonts w:ascii="Arial" w:hAnsi="Arial" w:cs="Arial"/>
          <w:sz w:val="20"/>
          <w:szCs w:val="20"/>
        </w:rPr>
      </w:pPr>
      <w:r w:rsidRPr="00E136C1">
        <w:rPr>
          <w:rFonts w:ascii="Arial" w:hAnsi="Arial" w:cs="Arial"/>
          <w:sz w:val="20"/>
          <w:szCs w:val="20"/>
        </w:rPr>
        <w:t xml:space="preserve">Supplementing the data in Column 2019, table 4 page 11 of the </w:t>
      </w:r>
      <w:r w:rsidR="000D3CD7">
        <w:rPr>
          <w:rFonts w:ascii="Arial" w:hAnsi="Arial" w:cs="Arial"/>
          <w:sz w:val="20"/>
          <w:szCs w:val="20"/>
        </w:rPr>
        <w:t xml:space="preserve">issued annual </w:t>
      </w:r>
      <w:r w:rsidRPr="00E136C1">
        <w:rPr>
          <w:rFonts w:ascii="Arial" w:hAnsi="Arial" w:cs="Arial"/>
          <w:sz w:val="20"/>
          <w:szCs w:val="20"/>
        </w:rPr>
        <w:t xml:space="preserve">report </w:t>
      </w:r>
    </w:p>
    <w:p w:rsidR="000D3CD7" w:rsidRDefault="00E136C1" w:rsidP="00F903A5">
      <w:pPr>
        <w:jc w:val="both"/>
        <w:rPr>
          <w:rFonts w:ascii="Arial" w:hAnsi="Arial" w:cs="Arial"/>
          <w:sz w:val="20"/>
          <w:szCs w:val="20"/>
        </w:rPr>
      </w:pPr>
      <w:r w:rsidRPr="00E136C1">
        <w:rPr>
          <w:rFonts w:ascii="Arial" w:hAnsi="Arial" w:cs="Arial"/>
          <w:sz w:val="20"/>
          <w:szCs w:val="20"/>
        </w:rPr>
        <w:t>4.2 The main financial indicat</w:t>
      </w:r>
      <w:r w:rsidR="000D3CD7">
        <w:rPr>
          <w:rFonts w:ascii="Arial" w:hAnsi="Arial" w:cs="Arial"/>
          <w:sz w:val="20"/>
          <w:szCs w:val="20"/>
        </w:rPr>
        <w:t>ors</w:t>
      </w:r>
    </w:p>
    <w:p w:rsidR="000D3CD7" w:rsidRDefault="000D3CD7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048"/>
        <w:gridCol w:w="1440"/>
        <w:gridCol w:w="1260"/>
      </w:tblGrid>
      <w:tr w:rsidR="000D3CD7" w:rsidTr="00780CFE">
        <w:tc>
          <w:tcPr>
            <w:tcW w:w="3830" w:type="dxa"/>
            <w:gridSpan w:val="2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04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Solvency</w:t>
            </w:r>
          </w:p>
        </w:tc>
        <w:tc>
          <w:tcPr>
            <w:tcW w:w="104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ratio</w:t>
            </w:r>
          </w:p>
        </w:tc>
        <w:tc>
          <w:tcPr>
            <w:tcW w:w="104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Quick ratio</w:t>
            </w:r>
          </w:p>
        </w:tc>
        <w:tc>
          <w:tcPr>
            <w:tcW w:w="104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Capital structure</w:t>
            </w:r>
          </w:p>
        </w:tc>
        <w:tc>
          <w:tcPr>
            <w:tcW w:w="104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Long-term debt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E136C1"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1048" w:type="dxa"/>
          </w:tcPr>
          <w:p w:rsidR="000D3CD7" w:rsidRDefault="000D3CD7">
            <w:r w:rsidRPr="006318D1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Debt</w:t>
            </w:r>
            <w:r>
              <w:rPr>
                <w:rFonts w:ascii="Arial" w:hAnsi="Arial" w:cs="Arial"/>
                <w:sz w:val="20"/>
                <w:szCs w:val="20"/>
              </w:rPr>
              <w:t xml:space="preserve">/ Total assets </w:t>
            </w:r>
          </w:p>
        </w:tc>
        <w:tc>
          <w:tcPr>
            <w:tcW w:w="1048" w:type="dxa"/>
          </w:tcPr>
          <w:p w:rsidR="000D3CD7" w:rsidRDefault="000D3CD7">
            <w:r w:rsidRPr="006318D1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revenue/ </w:t>
            </w:r>
            <w:r w:rsidRPr="00E136C1"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048" w:type="dxa"/>
          </w:tcPr>
          <w:p w:rsidR="000D3CD7" w:rsidRDefault="000D3CD7">
            <w:r w:rsidRPr="006318D1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Operating capacity</w:t>
            </w:r>
          </w:p>
        </w:tc>
        <w:tc>
          <w:tcPr>
            <w:tcW w:w="104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Inventory turnover</w:t>
            </w:r>
          </w:p>
        </w:tc>
        <w:tc>
          <w:tcPr>
            <w:tcW w:w="1048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27.35</w:t>
            </w:r>
          </w:p>
        </w:tc>
        <w:tc>
          <w:tcPr>
            <w:tcW w:w="1260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  <w:r w:rsidRPr="00E136C1">
              <w:rPr>
                <w:rFonts w:ascii="Arial" w:hAnsi="Arial" w:cs="Arial"/>
                <w:sz w:val="20"/>
                <w:szCs w:val="20"/>
              </w:rPr>
              <w:t>/ Total assets</w:t>
            </w:r>
          </w:p>
        </w:tc>
        <w:tc>
          <w:tcPr>
            <w:tcW w:w="1048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260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6C1">
              <w:rPr>
                <w:rFonts w:ascii="Arial" w:hAnsi="Arial" w:cs="Arial"/>
                <w:sz w:val="20"/>
                <w:szCs w:val="20"/>
              </w:rPr>
              <w:t>Profitability</w:t>
            </w:r>
          </w:p>
        </w:tc>
        <w:tc>
          <w:tcPr>
            <w:tcW w:w="104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D7" w:rsidTr="00780CFE">
        <w:tc>
          <w:tcPr>
            <w:tcW w:w="558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0D3CD7" w:rsidRDefault="000D3CD7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profit ratio (Profit after tax/ net revenue)</w:t>
            </w:r>
          </w:p>
        </w:tc>
        <w:tc>
          <w:tcPr>
            <w:tcW w:w="1048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9.16</w:t>
            </w:r>
          </w:p>
        </w:tc>
        <w:tc>
          <w:tcPr>
            <w:tcW w:w="1260" w:type="dxa"/>
          </w:tcPr>
          <w:p w:rsidR="000D3CD7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9.57</w:t>
            </w:r>
          </w:p>
        </w:tc>
      </w:tr>
      <w:tr w:rsidR="0070050E" w:rsidTr="00780CFE">
        <w:tc>
          <w:tcPr>
            <w:tcW w:w="558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profit ratio (Gross profit/ net revenue)</w:t>
            </w:r>
          </w:p>
        </w:tc>
        <w:tc>
          <w:tcPr>
            <w:tcW w:w="1048" w:type="dxa"/>
          </w:tcPr>
          <w:p w:rsidR="0070050E" w:rsidRDefault="0070050E">
            <w:r w:rsidRPr="00035F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25.51</w:t>
            </w:r>
          </w:p>
        </w:tc>
        <w:tc>
          <w:tcPr>
            <w:tcW w:w="126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25.76</w:t>
            </w:r>
          </w:p>
        </w:tc>
      </w:tr>
      <w:tr w:rsidR="0070050E" w:rsidTr="00780CFE">
        <w:tc>
          <w:tcPr>
            <w:tcW w:w="558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contract profit ratio (business profit/ net revenue)</w:t>
            </w:r>
          </w:p>
        </w:tc>
        <w:tc>
          <w:tcPr>
            <w:tcW w:w="1048" w:type="dxa"/>
          </w:tcPr>
          <w:p w:rsidR="0070050E" w:rsidRDefault="0070050E">
            <w:r w:rsidRPr="00035F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26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10.51</w:t>
            </w:r>
          </w:p>
        </w:tc>
      </w:tr>
      <w:tr w:rsidR="0070050E" w:rsidTr="00780CFE">
        <w:tc>
          <w:tcPr>
            <w:tcW w:w="558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efficiency</w:t>
            </w:r>
          </w:p>
        </w:tc>
        <w:tc>
          <w:tcPr>
            <w:tcW w:w="1048" w:type="dxa"/>
          </w:tcPr>
          <w:p w:rsidR="0070050E" w:rsidRPr="00035FFB" w:rsidRDefault="00700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0E" w:rsidTr="00780CFE">
        <w:tc>
          <w:tcPr>
            <w:tcW w:w="558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Profit/ Equity (ROE)</w:t>
            </w:r>
          </w:p>
        </w:tc>
        <w:tc>
          <w:tcPr>
            <w:tcW w:w="1048" w:type="dxa"/>
          </w:tcPr>
          <w:p w:rsidR="0070050E" w:rsidRDefault="0070050E">
            <w:r w:rsidRPr="002179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70050E" w:rsidRDefault="0070050E" w:rsidP="00F32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1260" w:type="dxa"/>
          </w:tcPr>
          <w:p w:rsidR="0070050E" w:rsidRDefault="0070050E" w:rsidP="00F32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</w:tr>
      <w:tr w:rsidR="0070050E" w:rsidTr="00780CFE">
        <w:tc>
          <w:tcPr>
            <w:tcW w:w="558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Profit/ Asset (ROA)</w:t>
            </w:r>
          </w:p>
        </w:tc>
        <w:tc>
          <w:tcPr>
            <w:tcW w:w="1048" w:type="dxa"/>
          </w:tcPr>
          <w:p w:rsidR="0070050E" w:rsidRDefault="0070050E">
            <w:r w:rsidRPr="002179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70050E" w:rsidRDefault="0070050E" w:rsidP="00F32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</w:t>
            </w:r>
          </w:p>
        </w:tc>
        <w:tc>
          <w:tcPr>
            <w:tcW w:w="1260" w:type="dxa"/>
          </w:tcPr>
          <w:p w:rsidR="0070050E" w:rsidRDefault="0070050E" w:rsidP="00F32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</w:tr>
      <w:tr w:rsidR="0070050E" w:rsidTr="00780CFE">
        <w:tc>
          <w:tcPr>
            <w:tcW w:w="558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Earnings per share</w:t>
            </w:r>
          </w:p>
        </w:tc>
        <w:tc>
          <w:tcPr>
            <w:tcW w:w="1048" w:type="dxa"/>
          </w:tcPr>
          <w:p w:rsidR="0070050E" w:rsidRPr="00035FFB" w:rsidRDefault="0070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VND/ share</w:t>
            </w:r>
          </w:p>
        </w:tc>
        <w:tc>
          <w:tcPr>
            <w:tcW w:w="144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554.67</w:t>
            </w:r>
          </w:p>
        </w:tc>
        <w:tc>
          <w:tcPr>
            <w:tcW w:w="1260" w:type="dxa"/>
          </w:tcPr>
          <w:p w:rsidR="0070050E" w:rsidRDefault="0070050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572.96</w:t>
            </w:r>
          </w:p>
        </w:tc>
      </w:tr>
    </w:tbl>
    <w:p w:rsidR="000D3CD7" w:rsidRDefault="000D3CD7" w:rsidP="00F903A5">
      <w:pPr>
        <w:jc w:val="both"/>
        <w:rPr>
          <w:rFonts w:ascii="Arial" w:hAnsi="Arial" w:cs="Arial"/>
          <w:sz w:val="20"/>
          <w:szCs w:val="20"/>
        </w:rPr>
      </w:pPr>
    </w:p>
    <w:sectPr w:rsidR="000D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D3CD7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0050E"/>
    <w:rsid w:val="00745D9A"/>
    <w:rsid w:val="00780CFE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10185"/>
    <w:rsid w:val="00B70D7E"/>
    <w:rsid w:val="00BA1F12"/>
    <w:rsid w:val="00BA3FB7"/>
    <w:rsid w:val="00BD3CCA"/>
    <w:rsid w:val="00D52C26"/>
    <w:rsid w:val="00D74339"/>
    <w:rsid w:val="00E136C1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831A"/>
  <w15:docId w15:val="{91FFC85F-4088-4F5C-B254-F4BDE8E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39</cp:revision>
  <dcterms:created xsi:type="dcterms:W3CDTF">2019-10-16T10:03:00Z</dcterms:created>
  <dcterms:modified xsi:type="dcterms:W3CDTF">2020-03-18T08:16:00Z</dcterms:modified>
</cp:coreProperties>
</file>